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5110A8" w:rsidRDefault="00463A23"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 Determinants for Aboriginal People </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Information</w:t>
      </w: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 Determinants for Aboriginal People </w:t>
      </w:r>
    </w:p>
    <w:p w:rsidR="001909A6" w:rsidRPr="00463A23" w:rsidRDefault="001909A6" w:rsidP="00463A23">
      <w:pPr>
        <w:spacing w:line="480" w:lineRule="auto"/>
        <w:jc w:val="center"/>
        <w:rPr>
          <w:rFonts w:ascii="Times New Roman" w:hAnsi="Times New Roman" w:cs="Times New Roman"/>
          <w:b/>
          <w:sz w:val="24"/>
          <w:szCs w:val="24"/>
        </w:rPr>
      </w:pPr>
      <w:r w:rsidRPr="00463A23">
        <w:rPr>
          <w:rFonts w:ascii="Times New Roman" w:hAnsi="Times New Roman" w:cs="Times New Roman"/>
          <w:b/>
          <w:sz w:val="24"/>
          <w:szCs w:val="24"/>
        </w:rPr>
        <w:t>Introduction</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Determinants of health refer to the behavioral, social, economic and environmental factors that affect the health status of individuals and contribute to their overall well-being (</w:t>
      </w:r>
      <w:r w:rsidR="00702B76">
        <w:rPr>
          <w:rFonts w:ascii="Times New Roman" w:hAnsi="Times New Roman" w:cs="Times New Roman"/>
          <w:sz w:val="24"/>
          <w:szCs w:val="24"/>
        </w:rPr>
        <w:t xml:space="preserve">Mikkonen &amp; </w:t>
      </w:r>
      <w:r w:rsidRPr="001909A6">
        <w:rPr>
          <w:rFonts w:ascii="Times New Roman" w:hAnsi="Times New Roman" w:cs="Times New Roman"/>
          <w:sz w:val="24"/>
          <w:szCs w:val="24"/>
        </w:rPr>
        <w:t>Raphael, 2010). Determinant</w:t>
      </w:r>
      <w:r w:rsidR="00111696">
        <w:rPr>
          <w:rFonts w:ascii="Times New Roman" w:hAnsi="Times New Roman" w:cs="Times New Roman"/>
          <w:sz w:val="24"/>
          <w:szCs w:val="24"/>
        </w:rPr>
        <w:t>s</w:t>
      </w:r>
      <w:r w:rsidRPr="001909A6">
        <w:rPr>
          <w:rFonts w:ascii="Times New Roman" w:hAnsi="Times New Roman" w:cs="Times New Roman"/>
          <w:sz w:val="24"/>
          <w:szCs w:val="24"/>
        </w:rPr>
        <w:t xml:space="preserve"> of health are intended to capture a wide context in which individuals are born, grow, live, work, and age. In this setting, Aboriginal peoples in Canada show significant health disparities</w:t>
      </w:r>
      <w:r w:rsidR="00111696">
        <w:rPr>
          <w:rFonts w:ascii="Times New Roman" w:hAnsi="Times New Roman" w:cs="Times New Roman"/>
          <w:sz w:val="24"/>
          <w:szCs w:val="24"/>
        </w:rPr>
        <w:t>. Th</w:t>
      </w:r>
      <w:r w:rsidRPr="001909A6">
        <w:rPr>
          <w:rFonts w:ascii="Times New Roman" w:hAnsi="Times New Roman" w:cs="Times New Roman"/>
          <w:sz w:val="24"/>
          <w:szCs w:val="24"/>
        </w:rPr>
        <w:t xml:space="preserve">ey endure continuous suffering compared to other Canadians because of the negative </w:t>
      </w:r>
      <w:r w:rsidR="00111696">
        <w:rPr>
          <w:rFonts w:ascii="Times New Roman" w:hAnsi="Times New Roman" w:cs="Times New Roman"/>
          <w:sz w:val="24"/>
          <w:szCs w:val="24"/>
        </w:rPr>
        <w:t>effects of</w:t>
      </w:r>
      <w:r w:rsidRPr="001909A6">
        <w:rPr>
          <w:rFonts w:ascii="Times New Roman" w:hAnsi="Times New Roman" w:cs="Times New Roman"/>
          <w:sz w:val="24"/>
          <w:szCs w:val="24"/>
        </w:rPr>
        <w:t xml:space="preserve"> colonization and settler colonialism.  Different debates have explained that health inequalities in Canada are attributed to poverty, increased food insecurity, lack of clean drinking water and the prevalence of chronic diseases. These disparities in health care within Canada have been a persistent challenge, resulting in Aboriginal overrepresentation</w:t>
      </w:r>
      <w:r w:rsidR="00111696">
        <w:rPr>
          <w:rFonts w:ascii="Times New Roman" w:hAnsi="Times New Roman" w:cs="Times New Roman"/>
          <w:sz w:val="24"/>
          <w:szCs w:val="24"/>
        </w:rPr>
        <w:t xml:space="preserve"> among those</w:t>
      </w:r>
      <w:r w:rsidRPr="001909A6">
        <w:rPr>
          <w:rFonts w:ascii="Times New Roman" w:hAnsi="Times New Roman" w:cs="Times New Roman"/>
          <w:sz w:val="24"/>
          <w:szCs w:val="24"/>
        </w:rPr>
        <w:t xml:space="preserve"> receiving a lower quality of healthcare and experiencing poorer health outcomes when compared to non-Aboriginal people (</w:t>
      </w:r>
      <w:r w:rsidR="005110A8">
        <w:rPr>
          <w:rFonts w:ascii="Times New Roman" w:hAnsi="Times New Roman" w:cs="Times New Roman"/>
          <w:sz w:val="24"/>
          <w:szCs w:val="24"/>
        </w:rPr>
        <w:t>Richmond &amp; Ross</w:t>
      </w:r>
      <w:r w:rsidRPr="001909A6">
        <w:rPr>
          <w:rFonts w:ascii="Times New Roman" w:hAnsi="Times New Roman" w:cs="Times New Roman"/>
          <w:sz w:val="24"/>
          <w:szCs w:val="24"/>
        </w:rPr>
        <w:t>, 200</w:t>
      </w:r>
      <w:r w:rsidR="005110A8">
        <w:rPr>
          <w:rFonts w:ascii="Times New Roman" w:hAnsi="Times New Roman" w:cs="Times New Roman"/>
          <w:sz w:val="24"/>
          <w:szCs w:val="24"/>
        </w:rPr>
        <w:t>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Universal healthcare that has been provided to Aboriginal peoples has been shaped by a history of colonial politics that served to discriminate Aboriginal people (Adelson, 2005). The Indian Act of 1876 and the treaty systems have been heavily criticized for their coercive nature, inherent racism and lack of regard for Aboriginal peoples’ sovereignty despite the fact that they were widely diverse in their political, economic and culture practices</w:t>
      </w:r>
      <w:r w:rsidR="005110A8">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xml:space="preserve">. This act treated Aboriginal people like children, seeking to diminish their power in order to fulfill the expansionist desires of the growing Canadian state. Many have argued, among them Aboriginal peoples, historians and cultural theorists, that the larger effort to strip Aboriginal peoples of their rights under these repressive policies led to cultural genocide. Residential schools are considered one of the many tragic and damning examples of efforts to purge </w:t>
      </w:r>
      <w:r w:rsidRPr="001909A6">
        <w:rPr>
          <w:rFonts w:ascii="Times New Roman" w:hAnsi="Times New Roman" w:cs="Times New Roman"/>
          <w:sz w:val="24"/>
          <w:szCs w:val="24"/>
        </w:rPr>
        <w:lastRenderedPageBreak/>
        <w:t>Aboriginal identity to serve the purposes of growing the Canadian state (</w:t>
      </w:r>
      <w:r w:rsidR="005110A8">
        <w:rPr>
          <w:rFonts w:ascii="Times New Roman" w:hAnsi="Times New Roman" w:cs="Times New Roman"/>
          <w:sz w:val="24"/>
          <w:szCs w:val="24"/>
        </w:rPr>
        <w:t>Frohlich, Ross &amp; Richmond, 2006</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At the time of first contact with Europeans, Aboriginal people were in good health. </w:t>
      </w:r>
      <w:r w:rsidR="00111696">
        <w:rPr>
          <w:rFonts w:ascii="Times New Roman" w:hAnsi="Times New Roman" w:cs="Times New Roman"/>
          <w:sz w:val="24"/>
          <w:szCs w:val="24"/>
        </w:rPr>
        <w:t>This</w:t>
      </w:r>
      <w:r w:rsidRPr="001909A6">
        <w:rPr>
          <w:rFonts w:ascii="Times New Roman" w:hAnsi="Times New Roman" w:cs="Times New Roman"/>
          <w:sz w:val="24"/>
          <w:szCs w:val="24"/>
        </w:rPr>
        <w:t xml:space="preserve"> is well documented in historical documents and through the findings of paleo-biology efforts. Before contact with Europeans, Aboriginal people enjoyed good health due to an active lifestyle and healthy traditional diet. These diets were generally balanced and included protein healthy fats, fruits, and vegetables</w:t>
      </w:r>
      <w:r w:rsidR="00111696">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xml:space="preserve">. Pre-contract lifestyles include small </w:t>
      </w:r>
      <w:r w:rsidR="00111696">
        <w:rPr>
          <w:rFonts w:ascii="Times New Roman" w:hAnsi="Times New Roman" w:cs="Times New Roman"/>
          <w:sz w:val="24"/>
          <w:szCs w:val="24"/>
        </w:rPr>
        <w:t xml:space="preserve">bodily </w:t>
      </w:r>
      <w:r w:rsidRPr="001909A6">
        <w:rPr>
          <w:rFonts w:ascii="Times New Roman" w:hAnsi="Times New Roman" w:cs="Times New Roman"/>
          <w:sz w:val="24"/>
          <w:szCs w:val="24"/>
        </w:rPr>
        <w:t>size, comparatively low population density, mobility on land and water, seasonal relocations to different harvest locations, intimate knowledge of the local environment, environmentally friendly subsistence practices, and availability of a variety of foods</w:t>
      </w:r>
      <w:r w:rsidR="005110A8">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Hunting, fishing and gathering lifestyle ensured that people were physically fit</w:t>
      </w:r>
      <w:r w:rsidR="00111696">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Following contact with settlers and ensuing colonization of their lands, the Aboriginal people were not able to sustain their previously healthy lifestyles</w:t>
      </w:r>
      <w:r w:rsidR="00111696">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The settlers imposed their food choices and unhealthy lifestyles on the Aboriginal people as they sought to assimilate the native culture into their own</w:t>
      </w:r>
      <w:r w:rsidR="00111696">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xml:space="preserve">. It led to future generations of Aboriginal people who were not as knowledgeable </w:t>
      </w:r>
      <w:r w:rsidR="00111696">
        <w:rPr>
          <w:rFonts w:ascii="Times New Roman" w:hAnsi="Times New Roman" w:cs="Times New Roman"/>
          <w:sz w:val="24"/>
          <w:szCs w:val="24"/>
        </w:rPr>
        <w:t>or</w:t>
      </w:r>
      <w:r w:rsidRPr="001909A6">
        <w:rPr>
          <w:rFonts w:ascii="Times New Roman" w:hAnsi="Times New Roman" w:cs="Times New Roman"/>
          <w:sz w:val="24"/>
          <w:szCs w:val="24"/>
        </w:rPr>
        <w:t xml:space="preserve"> focused on their traditional practices.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The social determinants of health framework </w:t>
      </w:r>
      <w:r w:rsidR="00AC403E">
        <w:rPr>
          <w:rFonts w:ascii="Times New Roman" w:hAnsi="Times New Roman" w:cs="Times New Roman"/>
          <w:sz w:val="24"/>
          <w:szCs w:val="24"/>
        </w:rPr>
        <w:t>involve</w:t>
      </w:r>
      <w:r w:rsidRPr="001909A6">
        <w:rPr>
          <w:rFonts w:ascii="Times New Roman" w:hAnsi="Times New Roman" w:cs="Times New Roman"/>
          <w:sz w:val="24"/>
          <w:szCs w:val="24"/>
        </w:rPr>
        <w:t xml:space="preserve"> social and economic factors that affect health status, accessibility of healthcare and health behaviors. These factors can offer a holistic and well-rounded understanding of health and health inequalities. These include circumstances and environments as well as structures, systems and institutions that influence the development and maintenance of health</w:t>
      </w:r>
      <w:r w:rsidR="00111696">
        <w:rPr>
          <w:rFonts w:ascii="Times New Roman" w:hAnsi="Times New Roman" w:cs="Times New Roman"/>
          <w:sz w:val="24"/>
          <w:szCs w:val="24"/>
        </w:rPr>
        <w:t xml:space="preserve"> (Richmond &amp; Ross, 2009)</w:t>
      </w:r>
      <w:r w:rsidRPr="001909A6">
        <w:rPr>
          <w:rFonts w:ascii="Times New Roman" w:hAnsi="Times New Roman" w:cs="Times New Roman"/>
          <w:sz w:val="24"/>
          <w:szCs w:val="24"/>
        </w:rPr>
        <w:t>.</w:t>
      </w:r>
      <w:r>
        <w:rPr>
          <w:rFonts w:ascii="Times New Roman" w:hAnsi="Times New Roman" w:cs="Times New Roman"/>
          <w:sz w:val="24"/>
          <w:szCs w:val="24"/>
        </w:rPr>
        <w:t xml:space="preserve"> </w:t>
      </w:r>
      <w:r w:rsidRPr="001909A6">
        <w:rPr>
          <w:rFonts w:ascii="Times New Roman" w:hAnsi="Times New Roman" w:cs="Times New Roman"/>
          <w:sz w:val="24"/>
          <w:szCs w:val="24"/>
        </w:rPr>
        <w:t xml:space="preserve">Social determinants of health for Aboriginal people are influenced by poverty, increased lack of food security, lack of clean </w:t>
      </w:r>
      <w:r w:rsidRPr="001909A6">
        <w:rPr>
          <w:rFonts w:ascii="Times New Roman" w:hAnsi="Times New Roman" w:cs="Times New Roman"/>
          <w:sz w:val="24"/>
          <w:szCs w:val="24"/>
        </w:rPr>
        <w:lastRenderedPageBreak/>
        <w:t xml:space="preserve">drinking water, and prevalence of chronic diseases. </w:t>
      </w:r>
      <w:r w:rsidR="00111696" w:rsidRPr="00111696">
        <w:rPr>
          <w:rFonts w:ascii="Times New Roman" w:hAnsi="Times New Roman" w:cs="Times New Roman"/>
          <w:sz w:val="24"/>
          <w:szCs w:val="24"/>
          <w:highlight w:val="yellow"/>
        </w:rPr>
        <w:t xml:space="preserve">Thesis: </w:t>
      </w:r>
      <w:r w:rsidRPr="00111696">
        <w:rPr>
          <w:rFonts w:ascii="Times New Roman" w:hAnsi="Times New Roman" w:cs="Times New Roman"/>
          <w:sz w:val="24"/>
          <w:szCs w:val="24"/>
          <w:highlight w:val="yellow"/>
        </w:rPr>
        <w:t>The reason why indigenous people are so highly affected by health inequalities is a combination of erosion of indigenous culture and failure by successive governments to empower Aboriginal people economically, socially, culturally, and politically.</w:t>
      </w:r>
      <w:r w:rsidRPr="001909A6">
        <w:rPr>
          <w:rFonts w:ascii="Times New Roman" w:hAnsi="Times New Roman" w:cs="Times New Roman"/>
          <w:sz w:val="24"/>
          <w:szCs w:val="24"/>
        </w:rPr>
        <w:t xml:space="preserve"> </w:t>
      </w:r>
    </w:p>
    <w:p w:rsidR="001909A6" w:rsidRPr="001909A6" w:rsidRDefault="001909A6" w:rsidP="00463A23">
      <w:pPr>
        <w:spacing w:line="480" w:lineRule="auto"/>
        <w:jc w:val="center"/>
        <w:rPr>
          <w:rFonts w:ascii="Times New Roman" w:hAnsi="Times New Roman" w:cs="Times New Roman"/>
          <w:sz w:val="24"/>
          <w:szCs w:val="24"/>
        </w:rPr>
      </w:pPr>
      <w:r w:rsidRPr="00702B76">
        <w:rPr>
          <w:rFonts w:ascii="Times New Roman" w:hAnsi="Times New Roman" w:cs="Times New Roman"/>
          <w:b/>
          <w:sz w:val="24"/>
          <w:szCs w:val="24"/>
        </w:rPr>
        <w:t>Soci</w:t>
      </w:r>
      <w:r w:rsidR="00702B76">
        <w:rPr>
          <w:rFonts w:ascii="Times New Roman" w:hAnsi="Times New Roman" w:cs="Times New Roman"/>
          <w:b/>
          <w:sz w:val="24"/>
          <w:szCs w:val="24"/>
        </w:rPr>
        <w:t>o</w:t>
      </w:r>
      <w:r w:rsidRPr="00702B76">
        <w:rPr>
          <w:rFonts w:ascii="Times New Roman" w:hAnsi="Times New Roman" w:cs="Times New Roman"/>
          <w:b/>
          <w:sz w:val="24"/>
          <w:szCs w:val="24"/>
        </w:rPr>
        <w:t>economic environment</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Contemporary health outcomes of colonialism can be viewed in social, educational, economic and food security dimensions of Aboriginal peoples’ lives. It not only carries additional burden of health problems, but they are often restricted from access to resources that might ameliorate problems (</w:t>
      </w:r>
      <w:r w:rsidR="005110A8">
        <w:rPr>
          <w:rFonts w:ascii="Times New Roman" w:hAnsi="Times New Roman" w:cs="Times New Roman"/>
          <w:sz w:val="24"/>
          <w:szCs w:val="24"/>
        </w:rPr>
        <w:t>Adelson,</w:t>
      </w:r>
      <w:r w:rsidRPr="001909A6">
        <w:rPr>
          <w:rFonts w:ascii="Times New Roman" w:hAnsi="Times New Roman" w:cs="Times New Roman"/>
          <w:sz w:val="24"/>
          <w:szCs w:val="24"/>
        </w:rPr>
        <w:t xml:space="preserve"> 200</w:t>
      </w:r>
      <w:r w:rsidR="005110A8">
        <w:rPr>
          <w:rFonts w:ascii="Times New Roman" w:hAnsi="Times New Roman" w:cs="Times New Roman"/>
          <w:sz w:val="24"/>
          <w:szCs w:val="24"/>
        </w:rPr>
        <w:t>5</w:t>
      </w:r>
      <w:r w:rsidRPr="001909A6">
        <w:rPr>
          <w:rFonts w:ascii="Times New Roman" w:hAnsi="Times New Roman" w:cs="Times New Roman"/>
          <w:sz w:val="24"/>
          <w:szCs w:val="24"/>
        </w:rPr>
        <w:t>).</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Social and economic environments take a central part in determining the health of all Aboriginal peoples. The process by which Aboriginal peoples’ access to traditional resources has been reduced by era of colonial era laws, has been referred to as environmental dispossession (Richmond &amp; Ross, 2009). A greater proportion of Aboriginal peoples experience heightened levels of poverty compared to non-Aboriginal peoples</w:t>
      </w:r>
      <w:r w:rsidR="00111696">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There are many contributing factors to this including racialized poverty in urban spaces (</w:t>
      </w:r>
      <w:r w:rsidR="005110A8">
        <w:rPr>
          <w:rFonts w:ascii="Times New Roman" w:hAnsi="Times New Roman" w:cs="Times New Roman"/>
          <w:sz w:val="24"/>
          <w:szCs w:val="24"/>
        </w:rPr>
        <w:t>Reading &amp; Wien</w:t>
      </w:r>
      <w:r w:rsidRPr="001909A6">
        <w:rPr>
          <w:rFonts w:ascii="Times New Roman" w:hAnsi="Times New Roman" w:cs="Times New Roman"/>
          <w:sz w:val="24"/>
          <w:szCs w:val="24"/>
        </w:rPr>
        <w:t>, 20</w:t>
      </w:r>
      <w:r w:rsidR="005110A8">
        <w:rPr>
          <w:rFonts w:ascii="Times New Roman" w:hAnsi="Times New Roman" w:cs="Times New Roman"/>
          <w:sz w:val="24"/>
          <w:szCs w:val="24"/>
        </w:rPr>
        <w:t>09</w:t>
      </w:r>
      <w:r w:rsidRPr="001909A6">
        <w:rPr>
          <w:rFonts w:ascii="Times New Roman" w:hAnsi="Times New Roman" w:cs="Times New Roman"/>
          <w:sz w:val="24"/>
          <w:szCs w:val="24"/>
        </w:rPr>
        <w:t xml:space="preserve">), resulting in a decrease in community infrastructure, leading to run-down schools and sports facilities. From the establishment of </w:t>
      </w:r>
      <w:r w:rsidR="00111696">
        <w:rPr>
          <w:rFonts w:ascii="Times New Roman" w:hAnsi="Times New Roman" w:cs="Times New Roman"/>
          <w:sz w:val="24"/>
          <w:szCs w:val="24"/>
        </w:rPr>
        <w:t>residential</w:t>
      </w:r>
      <w:r w:rsidRPr="001909A6">
        <w:rPr>
          <w:rFonts w:ascii="Times New Roman" w:hAnsi="Times New Roman" w:cs="Times New Roman"/>
          <w:sz w:val="24"/>
          <w:szCs w:val="24"/>
        </w:rPr>
        <w:t xml:space="preserve"> schools that enforced cultural assimilation of Aboriginal peoples into mainstream Canadian culture, the effects of colonization are apparent in all aspects of Aboriginal health and well-being. Not only does it affect their physical health, but their mental, emotional, and spiritual wellness. It is well established that Aboriginal peoples in Canada experience a disproportionate burden of ill health compared to non-Aboriginal peoples</w:t>
      </w:r>
      <w:r w:rsidR="005110A8">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xml:space="preserve">. In addition to the cultural and social effects of being forcibly displaced, many children suffered physical, sexual, psychological, and spiritual abuse while </w:t>
      </w:r>
      <w:r w:rsidRPr="001909A6">
        <w:rPr>
          <w:rFonts w:ascii="Times New Roman" w:hAnsi="Times New Roman" w:cs="Times New Roman"/>
          <w:sz w:val="24"/>
          <w:szCs w:val="24"/>
        </w:rPr>
        <w:lastRenderedPageBreak/>
        <w:t>attending the residential schools. This had enduring effects including various health problems, substance abuse, mortality/suicide rates, criminal activity, and disintegration of families and communities (Richmond &amp; Ross, 2008). Moreover, many of the residential schools were severely underfunded resulting in malnutrition and poor living conditions for children under their care</w:t>
      </w:r>
      <w:r w:rsidR="00111696">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This led to illness and death rather than receiving a proper education that could have positively contributed to health and well-being. This affects both occupational choices and income, both of which influence Aboriginal health in various ways. These schools impacted both the students of the time and the generations that came after them</w:t>
      </w:r>
      <w:r w:rsidR="005110A8">
        <w:rPr>
          <w:rFonts w:ascii="Times New Roman" w:hAnsi="Times New Roman" w:cs="Times New Roman"/>
          <w:sz w:val="24"/>
          <w:szCs w:val="24"/>
        </w:rPr>
        <w:t xml:space="preserve"> (Frohlich, Ross &amp; Richmond, 2006)</w:t>
      </w:r>
      <w:r w:rsidRPr="001909A6">
        <w:rPr>
          <w:rFonts w:ascii="Times New Roman" w:hAnsi="Times New Roman" w:cs="Times New Roman"/>
          <w:sz w:val="24"/>
          <w:szCs w:val="24"/>
        </w:rPr>
        <w:t>. Their children and grandchildren grew up in households and communities that did not place a reasonable priority on health, due to the people getting accustomed to health inequalities that the settlers and government forced upon them.</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People with higher levels of education are better equipped with skills such as critical thinking and problem solving that can be applied to a variety of jobs which provides them with more options when it comes to career selection</w:t>
      </w:r>
      <w:r w:rsidR="00111696">
        <w:rPr>
          <w:rFonts w:ascii="Times New Roman" w:hAnsi="Times New Roman" w:cs="Times New Roman"/>
          <w:sz w:val="24"/>
          <w:szCs w:val="24"/>
        </w:rPr>
        <w:t xml:space="preserve"> (Richmond &amp; Ross, 2009)</w:t>
      </w:r>
      <w:r w:rsidRPr="001909A6">
        <w:rPr>
          <w:rFonts w:ascii="Times New Roman" w:hAnsi="Times New Roman" w:cs="Times New Roman"/>
          <w:sz w:val="24"/>
          <w:szCs w:val="24"/>
        </w:rPr>
        <w:t>. Access to variety of jobs means higher chances of attaining income security leading to better access to healthy social and physical environments. (</w:t>
      </w:r>
      <w:r w:rsidR="005110A8">
        <w:rPr>
          <w:rFonts w:ascii="Times New Roman" w:hAnsi="Times New Roman" w:cs="Times New Roman"/>
          <w:sz w:val="24"/>
          <w:szCs w:val="24"/>
        </w:rPr>
        <w:t>Richmond &amp; Ross</w:t>
      </w:r>
      <w:r w:rsidRPr="001909A6">
        <w:rPr>
          <w:rFonts w:ascii="Times New Roman" w:hAnsi="Times New Roman" w:cs="Times New Roman"/>
          <w:sz w:val="24"/>
          <w:szCs w:val="24"/>
        </w:rPr>
        <w:t>, 200</w:t>
      </w:r>
      <w:r w:rsidR="005110A8">
        <w:rPr>
          <w:rFonts w:ascii="Times New Roman" w:hAnsi="Times New Roman" w:cs="Times New Roman"/>
          <w:sz w:val="24"/>
          <w:szCs w:val="24"/>
        </w:rPr>
        <w:t>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           Aboriginal people’s access to traditional education was accomplished using several techniques, including observation and practice, family and group socialization, oral teachings from elders and participation in communal fishing and hunting</w:t>
      </w:r>
      <w:r w:rsidR="00111696">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The sharing of cultural practices and traditional ways of life for future generation was severely compromised</w:t>
      </w:r>
      <w:r w:rsidR="009E3C01">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Historical factors tied to colonial laws and practices sought to undermine the social and cultural fabric of Aboriginal identity (Reading &amp; Wein, 2009). Ill health of Aboriginal peoples has been linked to</w:t>
      </w:r>
      <w:r w:rsidR="00550706">
        <w:rPr>
          <w:rFonts w:ascii="Times New Roman" w:hAnsi="Times New Roman" w:cs="Times New Roman"/>
          <w:sz w:val="24"/>
          <w:szCs w:val="24"/>
        </w:rPr>
        <w:t xml:space="preserve"> </w:t>
      </w:r>
      <w:r w:rsidRPr="001909A6">
        <w:rPr>
          <w:rFonts w:ascii="Times New Roman" w:hAnsi="Times New Roman" w:cs="Times New Roman"/>
          <w:sz w:val="24"/>
          <w:szCs w:val="24"/>
        </w:rPr>
        <w:t xml:space="preserve">the corrosive effects of poverty </w:t>
      </w:r>
      <w:r w:rsidRPr="001909A6">
        <w:rPr>
          <w:rFonts w:ascii="Times New Roman" w:hAnsi="Times New Roman" w:cs="Times New Roman"/>
          <w:sz w:val="24"/>
          <w:szCs w:val="24"/>
        </w:rPr>
        <w:lastRenderedPageBreak/>
        <w:t>and economic marginalization</w:t>
      </w:r>
      <w:r w:rsidR="00550706">
        <w:rPr>
          <w:rFonts w:ascii="Times New Roman" w:hAnsi="Times New Roman" w:cs="Times New Roman"/>
          <w:sz w:val="24"/>
          <w:szCs w:val="24"/>
        </w:rPr>
        <w:t xml:space="preserve">, </w:t>
      </w:r>
      <w:r w:rsidRPr="001909A6">
        <w:rPr>
          <w:rFonts w:ascii="Times New Roman" w:hAnsi="Times New Roman" w:cs="Times New Roman"/>
          <w:sz w:val="24"/>
          <w:szCs w:val="24"/>
        </w:rPr>
        <w:t>but these social determinants of health have themselves been described as both direct and indirect consequences of historic policies of colonization (</w:t>
      </w:r>
      <w:r w:rsidR="005110A8">
        <w:rPr>
          <w:rFonts w:ascii="Times New Roman" w:hAnsi="Times New Roman" w:cs="Times New Roman"/>
          <w:sz w:val="24"/>
          <w:szCs w:val="24"/>
        </w:rPr>
        <w:t xml:space="preserve">Gracey &amp; </w:t>
      </w:r>
      <w:r w:rsidRPr="001909A6">
        <w:rPr>
          <w:rFonts w:ascii="Times New Roman" w:hAnsi="Times New Roman" w:cs="Times New Roman"/>
          <w:sz w:val="24"/>
          <w:szCs w:val="24"/>
        </w:rPr>
        <w:t>King, 200</w:t>
      </w:r>
      <w:r w:rsidR="005110A8">
        <w:rPr>
          <w:rFonts w:ascii="Times New Roman" w:hAnsi="Times New Roman" w:cs="Times New Roman"/>
          <w:sz w:val="24"/>
          <w:szCs w:val="24"/>
        </w:rPr>
        <w:t>9</w:t>
      </w:r>
      <w:r w:rsidRPr="001909A6">
        <w:rPr>
          <w:rFonts w:ascii="Times New Roman" w:hAnsi="Times New Roman" w:cs="Times New Roman"/>
          <w:sz w:val="24"/>
          <w:szCs w:val="24"/>
        </w:rPr>
        <w:t>). Poverty alone does not determine the health of an individual or a population. A 2003 study found substantial clustering of diabetes in areas of Winnipeg with low socioeconomic status, poor environmental quality, poor lifestyles and a high proportion of Aboriginal people</w:t>
      </w:r>
      <w:r w:rsidR="00550706">
        <w:rPr>
          <w:rFonts w:ascii="Times New Roman" w:hAnsi="Times New Roman" w:cs="Times New Roman"/>
          <w:sz w:val="24"/>
          <w:szCs w:val="24"/>
        </w:rPr>
        <w:t xml:space="preserve"> (Waldram, Herring &amp; Young, 2006). </w:t>
      </w:r>
      <w:r w:rsidRPr="001909A6">
        <w:rPr>
          <w:rFonts w:ascii="Times New Roman" w:hAnsi="Times New Roman" w:cs="Times New Roman"/>
          <w:sz w:val="24"/>
          <w:szCs w:val="24"/>
        </w:rPr>
        <w:t>The study found that education and income were strong predictors of diabetes, rather than Aboriginal status, suggesting that socioeconomic status rather than genetic factors were responsible for the high prevalence of diabetes. This case study directly correlates impacts of the overrepresentation of Aboriginal peoples in the lower socioeconomic categories of affected by mental health, cancer, and respiratory disease, which are presented as examples of specific chronic diseases</w:t>
      </w:r>
      <w:r w:rsidR="00550706">
        <w:rPr>
          <w:rFonts w:ascii="Times New Roman" w:hAnsi="Times New Roman" w:cs="Times New Roman"/>
          <w:sz w:val="24"/>
          <w:szCs w:val="24"/>
        </w:rPr>
        <w:t xml:space="preserve"> (Richmond &amp; Ross, 2009).</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Many Aboriginal people still have lower incomes, inferior housing conditions, and contaminated water, which can lead to infectious diseases (Stavenhagen, 2004).</w:t>
      </w:r>
      <w:r w:rsidR="002062A7">
        <w:rPr>
          <w:rFonts w:ascii="Times New Roman" w:hAnsi="Times New Roman" w:cs="Times New Roman"/>
          <w:sz w:val="24"/>
          <w:szCs w:val="24"/>
        </w:rPr>
        <w:t xml:space="preserve"> </w:t>
      </w:r>
      <w:r w:rsidRPr="001909A6">
        <w:rPr>
          <w:rFonts w:ascii="Times New Roman" w:hAnsi="Times New Roman" w:cs="Times New Roman"/>
          <w:sz w:val="24"/>
          <w:szCs w:val="24"/>
        </w:rPr>
        <w:t>Although income is not the sole factor that explains health inequalities either, it is a fundamentally important variable and is related to other important measures of socioeconomic status such as education</w:t>
      </w:r>
      <w:r w:rsidR="009E3C01">
        <w:rPr>
          <w:rFonts w:ascii="Times New Roman" w:hAnsi="Times New Roman" w:cs="Times New Roman"/>
          <w:sz w:val="24"/>
          <w:szCs w:val="24"/>
        </w:rPr>
        <w:t xml:space="preserve"> (Stavenhagen, 2004)</w:t>
      </w:r>
      <w:r w:rsidRPr="001909A6">
        <w:rPr>
          <w:rFonts w:ascii="Times New Roman" w:hAnsi="Times New Roman" w:cs="Times New Roman"/>
          <w:sz w:val="24"/>
          <w:szCs w:val="24"/>
        </w:rPr>
        <w:t>. Income, along with social status, also determine people’s health. People with higher income and social status are able to afford greater opportunities to live a healthy life. Income statistics from 20</w:t>
      </w:r>
      <w:r w:rsidR="005110A8">
        <w:rPr>
          <w:rFonts w:ascii="Times New Roman" w:hAnsi="Times New Roman" w:cs="Times New Roman"/>
          <w:sz w:val="24"/>
          <w:szCs w:val="24"/>
        </w:rPr>
        <w:t>0</w:t>
      </w:r>
      <w:r w:rsidRPr="001909A6">
        <w:rPr>
          <w:rFonts w:ascii="Times New Roman" w:hAnsi="Times New Roman" w:cs="Times New Roman"/>
          <w:sz w:val="24"/>
          <w:szCs w:val="24"/>
        </w:rPr>
        <w:t>5 showed that the median total income for the Aboriginal population in Canada for those aged 25-54 was $22,000 while the non-Aboriginal people earned a median income of $33,000 for the same age group</w:t>
      </w:r>
      <w:r w:rsidR="005110A8">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Poverty has many dimensions – material deprivation (food, shelter, sanitation, and safe drinking water), social exclusion, lack of education, unemployment, and low income. In Aboriginal culture, the well-being of the community dictates individual decision making because </w:t>
      </w:r>
      <w:r w:rsidRPr="001909A6">
        <w:rPr>
          <w:rFonts w:ascii="Times New Roman" w:hAnsi="Times New Roman" w:cs="Times New Roman"/>
          <w:sz w:val="24"/>
          <w:szCs w:val="24"/>
        </w:rPr>
        <w:lastRenderedPageBreak/>
        <w:t>sharing and cooperation are significant communal values</w:t>
      </w:r>
      <w:r w:rsidR="009E3C01">
        <w:rPr>
          <w:rFonts w:ascii="Times New Roman" w:hAnsi="Times New Roman" w:cs="Times New Roman"/>
          <w:sz w:val="24"/>
          <w:szCs w:val="24"/>
        </w:rPr>
        <w:t xml:space="preserve"> (Gracey &amp; King, 2009)</w:t>
      </w:r>
      <w:r w:rsidRPr="001909A6">
        <w:rPr>
          <w:rFonts w:ascii="Times New Roman" w:hAnsi="Times New Roman" w:cs="Times New Roman"/>
          <w:sz w:val="24"/>
          <w:szCs w:val="24"/>
        </w:rPr>
        <w:t>. Wealth in Aboriginal communities is not measured in terms of possessions of property or resources. Wealth means good health, stable relationships, spiritual and mental well-being (</w:t>
      </w:r>
      <w:r w:rsidR="005110A8">
        <w:rPr>
          <w:rFonts w:ascii="Times New Roman" w:hAnsi="Times New Roman" w:cs="Times New Roman"/>
          <w:sz w:val="24"/>
          <w:szCs w:val="24"/>
        </w:rPr>
        <w:t>Gracey &amp; King, 2009</w:t>
      </w:r>
      <w:r w:rsidRPr="001909A6">
        <w:rPr>
          <w:rFonts w:ascii="Times New Roman" w:hAnsi="Times New Roman" w:cs="Times New Roman"/>
          <w:sz w:val="24"/>
          <w:szCs w:val="24"/>
        </w:rPr>
        <w:t>). Living in poverty has been associated with an increased risk of chronic disease, injury, poor infant development, a range of mental health issues, and premature death (</w:t>
      </w:r>
      <w:r w:rsidR="005110A8">
        <w:rPr>
          <w:rFonts w:ascii="Times New Roman" w:hAnsi="Times New Roman" w:cs="Times New Roman"/>
          <w:sz w:val="24"/>
          <w:szCs w:val="24"/>
        </w:rPr>
        <w:t>Mikkonen &amp; Raphael</w:t>
      </w:r>
      <w:r w:rsidRPr="001909A6">
        <w:rPr>
          <w:rFonts w:ascii="Times New Roman" w:hAnsi="Times New Roman" w:cs="Times New Roman"/>
          <w:sz w:val="24"/>
          <w:szCs w:val="24"/>
        </w:rPr>
        <w:t>, 201</w:t>
      </w:r>
      <w:r w:rsidR="005110A8">
        <w:rPr>
          <w:rFonts w:ascii="Times New Roman" w:hAnsi="Times New Roman" w:cs="Times New Roman"/>
          <w:sz w:val="24"/>
          <w:szCs w:val="24"/>
        </w:rPr>
        <w:t>0</w:t>
      </w:r>
      <w:r w:rsidRPr="001909A6">
        <w:rPr>
          <w:rFonts w:ascii="Times New Roman" w:hAnsi="Times New Roman" w:cs="Times New Roman"/>
          <w:sz w:val="24"/>
          <w:szCs w:val="24"/>
        </w:rPr>
        <w:t>). Successive generations since the 19th centuries have ignored or forgotten what wealth means in Aboriginal culture</w:t>
      </w:r>
      <w:r w:rsidR="009E3C01">
        <w:rPr>
          <w:rFonts w:ascii="Times New Roman" w:hAnsi="Times New Roman" w:cs="Times New Roman"/>
          <w:sz w:val="24"/>
          <w:szCs w:val="24"/>
        </w:rPr>
        <w:t xml:space="preserve"> (Gracey &amp; King, 2009)</w:t>
      </w:r>
      <w:r w:rsidRPr="001909A6">
        <w:rPr>
          <w:rFonts w:ascii="Times New Roman" w:hAnsi="Times New Roman" w:cs="Times New Roman"/>
          <w:sz w:val="24"/>
          <w:szCs w:val="24"/>
        </w:rPr>
        <w:t xml:space="preserve">. </w:t>
      </w:r>
      <w:r w:rsidR="009E3C01">
        <w:rPr>
          <w:rFonts w:ascii="Times New Roman" w:hAnsi="Times New Roman" w:cs="Times New Roman"/>
          <w:sz w:val="24"/>
          <w:szCs w:val="24"/>
        </w:rPr>
        <w:t>This</w:t>
      </w:r>
      <w:r w:rsidRPr="001909A6">
        <w:rPr>
          <w:rFonts w:ascii="Times New Roman" w:hAnsi="Times New Roman" w:cs="Times New Roman"/>
          <w:sz w:val="24"/>
          <w:szCs w:val="24"/>
        </w:rPr>
        <w:t xml:space="preserve"> is another factor that resulted in deep health inequalities for this group as the community has adopted the settler perspective of wealth that is more focused on material possessions than bodily well-being. </w:t>
      </w:r>
    </w:p>
    <w:p w:rsidR="009E3C01"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These poor outcomes are due to low accessibility of health care services, which also amplifies the negative health status of a community (</w:t>
      </w:r>
      <w:r w:rsidR="005110A8">
        <w:rPr>
          <w:rFonts w:ascii="Times New Roman" w:hAnsi="Times New Roman" w:cs="Times New Roman"/>
          <w:sz w:val="24"/>
          <w:szCs w:val="24"/>
        </w:rPr>
        <w:t>Mikkonen &amp; Raphael</w:t>
      </w:r>
      <w:r w:rsidRPr="001909A6">
        <w:rPr>
          <w:rFonts w:ascii="Times New Roman" w:hAnsi="Times New Roman" w:cs="Times New Roman"/>
          <w:sz w:val="24"/>
          <w:szCs w:val="24"/>
        </w:rPr>
        <w:t>, 201</w:t>
      </w:r>
      <w:r w:rsidR="005110A8">
        <w:rPr>
          <w:rFonts w:ascii="Times New Roman" w:hAnsi="Times New Roman" w:cs="Times New Roman"/>
          <w:sz w:val="24"/>
          <w:szCs w:val="24"/>
        </w:rPr>
        <w:t>0</w:t>
      </w:r>
      <w:r w:rsidRPr="001909A6">
        <w:rPr>
          <w:rFonts w:ascii="Times New Roman" w:hAnsi="Times New Roman" w:cs="Times New Roman"/>
          <w:sz w:val="24"/>
          <w:szCs w:val="24"/>
        </w:rPr>
        <w:t>). In this context, many Aboriginal communities lack adequate social amenities which includes poorly built schools and health care centers due to poor federal and provincial funding. Inadequate infrastructure and housing maintenance cause many health problems and detract from quality of life (</w:t>
      </w:r>
      <w:r w:rsidR="00550706">
        <w:rPr>
          <w:rFonts w:ascii="Times New Roman" w:hAnsi="Times New Roman" w:cs="Times New Roman"/>
          <w:sz w:val="24"/>
          <w:szCs w:val="24"/>
        </w:rPr>
        <w:t>Adelson</w:t>
      </w:r>
      <w:r w:rsidRPr="001909A6">
        <w:rPr>
          <w:rFonts w:ascii="Times New Roman" w:hAnsi="Times New Roman" w:cs="Times New Roman"/>
          <w:sz w:val="24"/>
          <w:szCs w:val="24"/>
        </w:rPr>
        <w:t>, 200</w:t>
      </w:r>
      <w:r w:rsidR="00550706">
        <w:rPr>
          <w:rFonts w:ascii="Times New Roman" w:hAnsi="Times New Roman" w:cs="Times New Roman"/>
          <w:sz w:val="24"/>
          <w:szCs w:val="24"/>
        </w:rPr>
        <w:t>5</w:t>
      </w:r>
      <w:r w:rsidRPr="001909A6">
        <w:rPr>
          <w:rFonts w:ascii="Times New Roman" w:hAnsi="Times New Roman" w:cs="Times New Roman"/>
          <w:sz w:val="24"/>
          <w:szCs w:val="24"/>
        </w:rPr>
        <w:t xml:space="preserve">). </w:t>
      </w:r>
      <w:r w:rsidR="009E3C01" w:rsidRPr="009E3C01">
        <w:rPr>
          <w:rFonts w:ascii="Times New Roman" w:hAnsi="Times New Roman" w:cs="Times New Roman"/>
          <w:sz w:val="24"/>
          <w:szCs w:val="24"/>
        </w:rPr>
        <w:t xml:space="preserve">Statistics from 2004-2005 reported that there was a housing shortage of an estimated 20,000 to 35,000 units and growing on-reserves (Frohlich, Ross &amp; Richmond, 2006). </w:t>
      </w:r>
      <w:r w:rsidRPr="001909A6">
        <w:rPr>
          <w:rFonts w:ascii="Times New Roman" w:hAnsi="Times New Roman" w:cs="Times New Roman"/>
          <w:sz w:val="24"/>
          <w:szCs w:val="24"/>
        </w:rPr>
        <w:t>While the focus is on-reserve living conditions, it is important to acknowledge that there is also a need for improvement of off-reserve living conditions. The shortages are attributed to food insecurities, poor maintenance of existing structures, and inadequate infrastructure</w:t>
      </w:r>
      <w:r w:rsidR="009E3C01">
        <w:rPr>
          <w:rFonts w:ascii="Times New Roman" w:hAnsi="Times New Roman" w:cs="Times New Roman"/>
          <w:sz w:val="24"/>
          <w:szCs w:val="24"/>
        </w:rPr>
        <w:t xml:space="preserve"> (Frohlich, Ross &amp; Richmond, 2006)</w:t>
      </w:r>
      <w:r w:rsidRPr="001909A6">
        <w:rPr>
          <w:rFonts w:ascii="Times New Roman" w:hAnsi="Times New Roman" w:cs="Times New Roman"/>
          <w:sz w:val="24"/>
          <w:szCs w:val="24"/>
        </w:rPr>
        <w:t>.</w:t>
      </w:r>
    </w:p>
    <w:p w:rsidR="00AC403E" w:rsidRDefault="00AC403E" w:rsidP="00463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Aboriginal communities have suffered significantly over the years as a result of mistreatment by successive administrations and erosion of their culture. However, they should be commended for maintaining their lifestyle and values even though it is arguable that these have </w:t>
      </w:r>
      <w:r>
        <w:rPr>
          <w:rFonts w:ascii="Times New Roman" w:hAnsi="Times New Roman" w:cs="Times New Roman"/>
          <w:sz w:val="24"/>
          <w:szCs w:val="24"/>
        </w:rPr>
        <w:lastRenderedPageBreak/>
        <w:t xml:space="preserve">been eroded by </w:t>
      </w:r>
      <w:r w:rsidR="004A32CE">
        <w:rPr>
          <w:rFonts w:ascii="Times New Roman" w:hAnsi="Times New Roman" w:cs="Times New Roman"/>
          <w:sz w:val="24"/>
          <w:szCs w:val="24"/>
        </w:rPr>
        <w:t>cultural values of white Americans and other ethnic groups residing on the continent. There are various Aboriginal communities that are content and flourishing in environments that they have secured for themselves (Mikkonen &amp; Raphael, 2010). In these environments, outside influence is minimized and the focus remains on traditional values and norms. It is not reasonable to generalize the entire Aboriginal community as being poor and unhealthy. Some communities have retained their traditional practices and have prospered in their own economic and health-related ways (Mikkonen &amp; Raphael, 2010). It is arguable that lack of outside influence improves health conditions rather than improve it as is the common view.</w:t>
      </w:r>
    </w:p>
    <w:p w:rsidR="001909A6" w:rsidRPr="001909A6" w:rsidRDefault="009E3C01" w:rsidP="00463A2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Aboriginal communities face health inequalities that are a result of centuries of unwillingness by government institutions to improve the health situation of this marginalized ethnic group. It has created a situation where health inequality is considered the norm rather than the exception. While majority of the blame goes to government institutions, it is important for the Aboriginal communities to understand that they have the power to impact their health situation positively. Despite low federal funding, the Aboriginal people can introduce minor changes to living conditions and eating habits.</w:t>
      </w: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A32CE" w:rsidRDefault="004A32CE" w:rsidP="00463A23">
      <w:pPr>
        <w:spacing w:line="480" w:lineRule="auto"/>
        <w:jc w:val="center"/>
        <w:rPr>
          <w:rFonts w:ascii="Times New Roman" w:hAnsi="Times New Roman" w:cs="Times New Roman"/>
          <w:sz w:val="24"/>
          <w:szCs w:val="24"/>
        </w:rPr>
      </w:pPr>
    </w:p>
    <w:p w:rsidR="000A0897" w:rsidRDefault="001909A6" w:rsidP="00463A23">
      <w:pPr>
        <w:spacing w:line="480" w:lineRule="auto"/>
        <w:jc w:val="center"/>
        <w:rPr>
          <w:rFonts w:ascii="Times New Roman" w:hAnsi="Times New Roman" w:cs="Times New Roman"/>
          <w:sz w:val="24"/>
          <w:szCs w:val="24"/>
        </w:rPr>
      </w:pPr>
      <w:r w:rsidRPr="001909A6">
        <w:rPr>
          <w:rFonts w:ascii="Times New Roman" w:hAnsi="Times New Roman" w:cs="Times New Roman"/>
          <w:sz w:val="24"/>
          <w:szCs w:val="24"/>
        </w:rPr>
        <w:lastRenderedPageBreak/>
        <w:t>References</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Adelson, N. (2005). The embodiment of inequity: Health disparities in Aboriginal Canada. </w:t>
      </w:r>
      <w:r w:rsidRPr="00702B76">
        <w:rPr>
          <w:rFonts w:ascii="Times New Roman" w:hAnsi="Times New Roman" w:cs="Times New Roman"/>
          <w:i/>
          <w:sz w:val="24"/>
          <w:szCs w:val="24"/>
        </w:rPr>
        <w:t>Canadian Journal of Public Health/Revue Canadienne de Sante'e Publique</w:t>
      </w:r>
      <w:r w:rsidRPr="00702B76">
        <w:rPr>
          <w:rFonts w:ascii="Times New Roman" w:hAnsi="Times New Roman" w:cs="Times New Roman"/>
          <w:sz w:val="24"/>
          <w:szCs w:val="24"/>
        </w:rPr>
        <w:t>, S45-S61.</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Frohlich, K. L., Ross, N., &amp; Richmond, C. (2006). Health disparities in Canada today: Some evidence and a theoretical framework. </w:t>
      </w:r>
      <w:r w:rsidRPr="00702B76">
        <w:rPr>
          <w:rFonts w:ascii="Times New Roman" w:hAnsi="Times New Roman" w:cs="Times New Roman"/>
          <w:i/>
          <w:sz w:val="24"/>
          <w:szCs w:val="24"/>
        </w:rPr>
        <w:t>Health Policy</w:t>
      </w:r>
      <w:r w:rsidRPr="00702B76">
        <w:rPr>
          <w:rFonts w:ascii="Times New Roman" w:hAnsi="Times New Roman" w:cs="Times New Roman"/>
          <w:sz w:val="24"/>
          <w:szCs w:val="24"/>
        </w:rPr>
        <w:t>, 79(2), 132-143.</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Gracey, M., &amp; King, M. (2009). Indigenous health part 1: determinants and disease patterns. </w:t>
      </w:r>
      <w:r w:rsidRPr="00550706">
        <w:rPr>
          <w:rFonts w:ascii="Times New Roman" w:hAnsi="Times New Roman" w:cs="Times New Roman"/>
          <w:i/>
          <w:sz w:val="24"/>
          <w:szCs w:val="24"/>
        </w:rPr>
        <w:t>The Lancet</w:t>
      </w:r>
      <w:r w:rsidRPr="00702B76">
        <w:rPr>
          <w:rFonts w:ascii="Times New Roman" w:hAnsi="Times New Roman" w:cs="Times New Roman"/>
          <w:sz w:val="24"/>
          <w:szCs w:val="24"/>
        </w:rPr>
        <w:t>, 374(9683), 65-75.</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Mikkonen, J., &amp; Raphael, D. (2010). </w:t>
      </w:r>
      <w:r w:rsidRPr="00702B76">
        <w:rPr>
          <w:rFonts w:ascii="Times New Roman" w:hAnsi="Times New Roman" w:cs="Times New Roman"/>
          <w:i/>
          <w:sz w:val="24"/>
          <w:szCs w:val="24"/>
        </w:rPr>
        <w:t>Social determinants of health: The Canadian facts</w:t>
      </w:r>
      <w:r w:rsidRPr="00702B76">
        <w:rPr>
          <w:rFonts w:ascii="Times New Roman" w:hAnsi="Times New Roman" w:cs="Times New Roman"/>
          <w:sz w:val="24"/>
          <w:szCs w:val="24"/>
        </w:rPr>
        <w:t>. York University, School of Health Policy and Management.</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Reading, C. L., &amp; Wien, F. (2009). </w:t>
      </w:r>
      <w:r w:rsidRPr="00702B76">
        <w:rPr>
          <w:rFonts w:ascii="Times New Roman" w:hAnsi="Times New Roman" w:cs="Times New Roman"/>
          <w:i/>
          <w:sz w:val="24"/>
          <w:szCs w:val="24"/>
        </w:rPr>
        <w:t>Health inequalities and the social determinants of Aboriginal peoples' health</w:t>
      </w:r>
      <w:r w:rsidRPr="00702B76">
        <w:rPr>
          <w:rFonts w:ascii="Times New Roman" w:hAnsi="Times New Roman" w:cs="Times New Roman"/>
          <w:sz w:val="24"/>
          <w:szCs w:val="24"/>
        </w:rPr>
        <w:t>. Prince George, BC: National Collaborating Centre for Aboriginal Health.</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Richmond, C. A., &amp; Ross, N. A. (2009). The determinants of First Nation and Inuit health: A critical population hea</w:t>
      </w:r>
      <w:r w:rsidR="005110A8">
        <w:rPr>
          <w:rFonts w:ascii="Times New Roman" w:hAnsi="Times New Roman" w:cs="Times New Roman"/>
          <w:sz w:val="24"/>
          <w:szCs w:val="24"/>
        </w:rPr>
        <w:t>k8</w:t>
      </w:r>
      <w:r w:rsidRPr="00702B76">
        <w:rPr>
          <w:rFonts w:ascii="Times New Roman" w:hAnsi="Times New Roman" w:cs="Times New Roman"/>
          <w:sz w:val="24"/>
          <w:szCs w:val="24"/>
        </w:rPr>
        <w:t xml:space="preserve">lth approach. </w:t>
      </w:r>
      <w:r w:rsidRPr="00702B76">
        <w:rPr>
          <w:rFonts w:ascii="Times New Roman" w:hAnsi="Times New Roman" w:cs="Times New Roman"/>
          <w:i/>
          <w:sz w:val="24"/>
          <w:szCs w:val="24"/>
        </w:rPr>
        <w:t>Health &amp; place</w:t>
      </w:r>
      <w:r w:rsidRPr="00702B76">
        <w:rPr>
          <w:rFonts w:ascii="Times New Roman" w:hAnsi="Times New Roman" w:cs="Times New Roman"/>
          <w:sz w:val="24"/>
          <w:szCs w:val="24"/>
        </w:rPr>
        <w:t>, 15(2), 403-411.</w:t>
      </w:r>
      <w:r>
        <w:rPr>
          <w:rFonts w:ascii="Times New Roman" w:hAnsi="Times New Roman" w:cs="Times New Roman"/>
          <w:sz w:val="24"/>
          <w:szCs w:val="24"/>
        </w:rPr>
        <w:t xml:space="preserve"> </w:t>
      </w:r>
    </w:p>
    <w:p w:rsidR="00550706" w:rsidRDefault="00550706" w:rsidP="00463A23">
      <w:pPr>
        <w:spacing w:line="480" w:lineRule="auto"/>
        <w:ind w:left="720" w:hanging="720"/>
        <w:rPr>
          <w:rFonts w:ascii="Times New Roman" w:hAnsi="Times New Roman" w:cs="Times New Roman"/>
          <w:sz w:val="24"/>
          <w:szCs w:val="24"/>
        </w:rPr>
      </w:pPr>
      <w:r w:rsidRPr="00550706">
        <w:rPr>
          <w:rFonts w:ascii="Times New Roman" w:hAnsi="Times New Roman" w:cs="Times New Roman"/>
          <w:sz w:val="24"/>
          <w:szCs w:val="24"/>
        </w:rPr>
        <w:t>Stavenhagen, R. (2004). Indigenous peoples in comparative perspective–problems and policies (No. HDOCPA-2004-14). Human Development Report Office (HDRO), United Nations Development Programme (UNDP).</w:t>
      </w:r>
    </w:p>
    <w:p w:rsidR="00702B76" w:rsidRPr="00CE4BA1"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Waldram, J. B., Herring, A., &amp; Young, T. K. (2006). </w:t>
      </w:r>
      <w:r w:rsidRPr="00702B76">
        <w:rPr>
          <w:rFonts w:ascii="Times New Roman" w:hAnsi="Times New Roman" w:cs="Times New Roman"/>
          <w:i/>
          <w:sz w:val="24"/>
          <w:szCs w:val="24"/>
        </w:rPr>
        <w:t>Aboriginal health in Canada: Historical, cultural, and epidemiological persp</w:t>
      </w:r>
      <w:bookmarkStart w:id="0" w:name="_GoBack"/>
      <w:bookmarkEnd w:id="0"/>
      <w:r w:rsidRPr="00702B76">
        <w:rPr>
          <w:rFonts w:ascii="Times New Roman" w:hAnsi="Times New Roman" w:cs="Times New Roman"/>
          <w:i/>
          <w:sz w:val="24"/>
          <w:szCs w:val="24"/>
        </w:rPr>
        <w:t>ectives</w:t>
      </w:r>
      <w:r w:rsidRPr="00702B76">
        <w:rPr>
          <w:rFonts w:ascii="Times New Roman" w:hAnsi="Times New Roman" w:cs="Times New Roman"/>
          <w:sz w:val="24"/>
          <w:szCs w:val="24"/>
        </w:rPr>
        <w:t>. University of Toronto Press.</w:t>
      </w:r>
      <w:r>
        <w:rPr>
          <w:rFonts w:ascii="Times New Roman" w:hAnsi="Times New Roman" w:cs="Times New Roman"/>
          <w:sz w:val="24"/>
          <w:szCs w:val="24"/>
        </w:rPr>
        <w:t xml:space="preserve"> </w:t>
      </w:r>
    </w:p>
    <w:sectPr w:rsidR="00702B76" w:rsidRPr="00CE4BA1" w:rsidSect="00463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4E85" w:rsidRDefault="00854E85" w:rsidP="00463A23">
      <w:pPr>
        <w:spacing w:after="0" w:line="240" w:lineRule="auto"/>
      </w:pPr>
      <w:r>
        <w:separator/>
      </w:r>
    </w:p>
  </w:endnote>
  <w:endnote w:type="continuationSeparator" w:id="0">
    <w:p w:rsidR="00854E85" w:rsidRDefault="00854E85" w:rsidP="00463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4E85" w:rsidRDefault="00854E85" w:rsidP="00463A23">
      <w:pPr>
        <w:spacing w:after="0" w:line="240" w:lineRule="auto"/>
      </w:pPr>
      <w:r>
        <w:separator/>
      </w:r>
    </w:p>
  </w:footnote>
  <w:footnote w:type="continuationSeparator" w:id="0">
    <w:p w:rsidR="00854E85" w:rsidRDefault="00854E85" w:rsidP="00463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97938370"/>
      <w:docPartObj>
        <w:docPartGallery w:val="Page Numbers (Top of Page)"/>
        <w:docPartUnique/>
      </w:docPartObj>
    </w:sdtPr>
    <w:sdtEndPr>
      <w:rPr>
        <w:noProof/>
      </w:rPr>
    </w:sdtEndPr>
    <w:sdtContent>
      <w:p w:rsidR="00463A23" w:rsidRPr="00463A23" w:rsidRDefault="00463A23">
        <w:pPr>
          <w:pStyle w:val="Header"/>
          <w:jc w:val="right"/>
          <w:rPr>
            <w:rFonts w:ascii="Times New Roman" w:hAnsi="Times New Roman" w:cs="Times New Roman"/>
            <w:sz w:val="24"/>
            <w:szCs w:val="24"/>
          </w:rPr>
        </w:pPr>
        <w:r w:rsidRPr="00463A23">
          <w:rPr>
            <w:rFonts w:ascii="Times New Roman" w:hAnsi="Times New Roman" w:cs="Times New Roman"/>
            <w:sz w:val="24"/>
            <w:szCs w:val="24"/>
          </w:rPr>
          <w:t>HEALTH INEQUALITIES</w:t>
        </w:r>
        <w:r w:rsidRPr="00463A23">
          <w:rPr>
            <w:rFonts w:ascii="Times New Roman" w:hAnsi="Times New Roman" w:cs="Times New Roman"/>
            <w:sz w:val="24"/>
            <w:szCs w:val="24"/>
          </w:rPr>
          <w:tab/>
        </w:r>
        <w:r w:rsidRPr="00463A23">
          <w:rPr>
            <w:rFonts w:ascii="Times New Roman" w:hAnsi="Times New Roman" w:cs="Times New Roman"/>
            <w:sz w:val="24"/>
            <w:szCs w:val="24"/>
          </w:rPr>
          <w:tab/>
        </w:r>
        <w:r w:rsidRPr="00463A23">
          <w:rPr>
            <w:rFonts w:ascii="Times New Roman" w:hAnsi="Times New Roman" w:cs="Times New Roman"/>
            <w:sz w:val="24"/>
            <w:szCs w:val="24"/>
          </w:rPr>
          <w:fldChar w:fldCharType="begin"/>
        </w:r>
        <w:r w:rsidRPr="00463A23">
          <w:rPr>
            <w:rFonts w:ascii="Times New Roman" w:hAnsi="Times New Roman" w:cs="Times New Roman"/>
            <w:sz w:val="24"/>
            <w:szCs w:val="24"/>
          </w:rPr>
          <w:instrText xml:space="preserve"> PAGE   \* MERGEFORMAT </w:instrText>
        </w:r>
        <w:r w:rsidRPr="00463A23">
          <w:rPr>
            <w:rFonts w:ascii="Times New Roman" w:hAnsi="Times New Roman" w:cs="Times New Roman"/>
            <w:sz w:val="24"/>
            <w:szCs w:val="24"/>
          </w:rPr>
          <w:fldChar w:fldCharType="separate"/>
        </w:r>
        <w:r w:rsidRPr="00463A23">
          <w:rPr>
            <w:rFonts w:ascii="Times New Roman" w:hAnsi="Times New Roman" w:cs="Times New Roman"/>
            <w:noProof/>
            <w:sz w:val="24"/>
            <w:szCs w:val="24"/>
          </w:rPr>
          <w:t>2</w:t>
        </w:r>
        <w:r w:rsidRPr="00463A23">
          <w:rPr>
            <w:rFonts w:ascii="Times New Roman" w:hAnsi="Times New Roman" w:cs="Times New Roman"/>
            <w:noProof/>
            <w:sz w:val="24"/>
            <w:szCs w:val="24"/>
          </w:rPr>
          <w:fldChar w:fldCharType="end"/>
        </w:r>
      </w:p>
    </w:sdtContent>
  </w:sdt>
  <w:p w:rsidR="00463A23" w:rsidRPr="00463A23" w:rsidRDefault="00463A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23" w:rsidRPr="00463A23" w:rsidRDefault="00463A23">
    <w:pPr>
      <w:pStyle w:val="Header"/>
      <w:rPr>
        <w:rFonts w:ascii="Times New Roman" w:hAnsi="Times New Roman" w:cs="Times New Roman"/>
        <w:sz w:val="24"/>
        <w:szCs w:val="24"/>
      </w:rPr>
    </w:pPr>
    <w:r w:rsidRPr="00463A23">
      <w:rPr>
        <w:rFonts w:ascii="Times New Roman" w:hAnsi="Times New Roman" w:cs="Times New Roman"/>
        <w:sz w:val="24"/>
        <w:szCs w:val="24"/>
      </w:rPr>
      <w:t>Running head: HEALTH INEQUALITIES</w:t>
    </w:r>
    <w:r w:rsidRPr="00463A23">
      <w:rPr>
        <w:rFonts w:ascii="Times New Roman" w:hAnsi="Times New Roman" w:cs="Times New Roman"/>
        <w:sz w:val="24"/>
        <w:szCs w:val="24"/>
      </w:rPr>
      <w:tab/>
    </w:r>
    <w:r w:rsidRPr="00463A2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yMzMxMTG0NLE0MzVT0lEKTi0uzszPAykwqgUA+THd8SwAAAA="/>
  </w:docVars>
  <w:rsids>
    <w:rsidRoot w:val="00CE4BA1"/>
    <w:rsid w:val="00111696"/>
    <w:rsid w:val="001909A6"/>
    <w:rsid w:val="002062A7"/>
    <w:rsid w:val="00463A23"/>
    <w:rsid w:val="004A32CE"/>
    <w:rsid w:val="004C4519"/>
    <w:rsid w:val="005110A8"/>
    <w:rsid w:val="00550706"/>
    <w:rsid w:val="00577D9C"/>
    <w:rsid w:val="00651C3D"/>
    <w:rsid w:val="00702B76"/>
    <w:rsid w:val="00854E85"/>
    <w:rsid w:val="009E3C01"/>
    <w:rsid w:val="00AC403E"/>
    <w:rsid w:val="00C510D4"/>
    <w:rsid w:val="00CE4BA1"/>
    <w:rsid w:val="00D079CD"/>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0E15"/>
  <w15:chartTrackingRefBased/>
  <w15:docId w15:val="{D4E1FDFE-80CC-4531-BDC6-39093C44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23"/>
  </w:style>
  <w:style w:type="paragraph" w:styleId="Footer">
    <w:name w:val="footer"/>
    <w:basedOn w:val="Normal"/>
    <w:link w:val="FooterChar"/>
    <w:uiPriority w:val="99"/>
    <w:unhideWhenUsed/>
    <w:rsid w:val="00463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2240</Words>
  <Characters>12771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2018-04-17T00:48:00Z</dcterms:created>
  <dcterms:modified xsi:type="dcterms:W3CDTF">2018-04-17T00:48:00Z</dcterms:modified>
</cp:coreProperties>
</file>